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14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06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«О </w:t>
      </w:r>
      <w:r>
        <w:rPr>
          <w:rFonts w:ascii="PT Astra Serif" w:hAnsi="PT Astra Serif"/>
          <w:b/>
          <w:bCs/>
          <w:sz w:val="28"/>
          <w:szCs w:val="28"/>
        </w:rPr>
        <w:t>стратегии развития рыбохозяйственного комплекса</w:t>
        <w:br/>
        <w:t xml:space="preserve">Ульяновской области на период до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2030 года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06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</w:rPr>
        <w:t>марта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«О </w:t>
      </w:r>
      <w:bookmarkStart w:id="0" w:name="__DdeLink__45_1481463482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>стратегии развития рыбохозяйственного комплекса</w:t>
        <w:br/>
        <w:t xml:space="preserve">Ульяновской области на период до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2030 года</w:t>
      </w:r>
      <w:bookmarkEnd w:id="0"/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проект), подготовленный специалистами департамента животноводства, племенного дела и аквакультуры Министерства агропромышленного комплекса и развития сельских территорий Ульяновской области Ульяновской области.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PT Astra Serif" w:hAnsi="PT Astra Serif"/>
          <w:color w:val="00000A"/>
          <w:sz w:val="28"/>
          <w:szCs w:val="28"/>
        </w:rPr>
        <w:t xml:space="preserve">Проект разработан в целях </w:t>
      </w:r>
      <w:r>
        <w:rPr>
          <w:rFonts w:ascii="PT Astra Serif" w:hAnsi="PT Astra Serif"/>
          <w:color w:val="00000A"/>
          <w:sz w:val="28"/>
          <w:szCs w:val="28"/>
        </w:rPr>
        <w:t>развития рыбоводства, рыболовства</w:t>
        <w:br/>
        <w:t>и рыбопереработки, создания благоприятных условий для ведения бизнеса</w:t>
        <w:br/>
        <w:t>и привлечения инвестиций в рыбохозяйственную отрасль.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Проектом предлагается утвердить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стратегию развития рыбохозяйственного комплекса Ульяновской области на период до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2030 года, включая плановые показатели стратегического развития рыболовства, аквакультуры, рыбопереработки на территории Ульяновской области, а также список планируемых к введению в оборот гидротехнических сооружений прудов, пригодных для рыборазведения в муниципальных образованиях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LibreOffice/6.2.7.1$Linux_X86_64 LibreOffice_project/20$Build-1</Application>
  <Pages>1</Pages>
  <Words>221</Words>
  <Characters>1796</Characters>
  <CharactersWithSpaces>2043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2020-03-06T12:06:18Z</cp:lastPrinted>
  <dcterms:modified xsi:type="dcterms:W3CDTF">2020-03-06T12:49:23Z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